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ROSAC0297ZPB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Dealurile Târnavei Mici - Bicheș</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29485055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644205983"/>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242746901"/>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193,44</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0,52%</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Mureș, Harghita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622623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13,38%</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2090312453"/>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86,62%</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352771152"/>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687853987"/>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1189338968"/>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2013732531"/>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8">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A">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E">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5F">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193,44</w:t>
      </w:r>
    </w:p>
    <w:p w:rsidR="00000000" w:rsidDel="00000000" w:rsidP="00000000" w:rsidRDefault="00000000" w:rsidRPr="00000000" w14:paraId="00000061">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1553 din 2016 privind aprobarea planului de management și a regulamentului siturilor Natura 2000 ROSPA0028 Dealurile Târnavelor și Valea Nirajului, ROSCI0186 Pădurile de stejar pufos de pe Târnava Mare, ROSCI0297 Dealurile Târnavei Mici – Bicheș și ROSCI0384 Râul Târnava Mică.</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5">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6">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2817"/>
        <w:gridCol w:w="6147"/>
        <w:tblGridChange w:id="0">
          <w:tblGrid>
            <w:gridCol w:w="2817"/>
            <w:gridCol w:w="614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7">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300" w:lineRule="auto"/>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6B">
            <w:pPr>
              <w:spacing w:after="0" w:line="300" w:lineRule="auto"/>
              <w:jc w:val="both"/>
              <w:rPr>
                <w:sz w:val="22"/>
                <w:szCs w:val="22"/>
              </w:rPr>
            </w:pPr>
            <w:r w:rsidDel="00000000" w:rsidR="00000000" w:rsidRPr="00000000">
              <w:rPr>
                <w:i w:val="1"/>
                <w:iCs w:val="1"/>
                <w:sz w:val="22"/>
                <w:szCs w:val="22"/>
                <w:rtl w:val="0"/>
              </w:rPr>
              <w:t xml:space="preserve">9110 Păduri de fag de tip Luzulo-Fagetum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sz w:val="22"/>
                <w:szCs w:val="22"/>
              </w:rPr>
            </w:pPr>
            <w:r w:rsidDel="00000000" w:rsidR="00000000" w:rsidRPr="00000000">
              <w:rPr>
                <w:sz w:val="22"/>
                <w:szCs w:val="22"/>
                <w:rtl w:val="0"/>
              </w:rPr>
              <w:t xml:space="preserve">1308 </w:t>
            </w:r>
            <w:r w:rsidDel="00000000" w:rsidR="00000000" w:rsidRPr="00000000">
              <w:rPr>
                <w:i w:val="1"/>
                <w:iCs w:val="1"/>
                <w:sz w:val="22"/>
                <w:szCs w:val="22"/>
                <w:rtl w:val="0"/>
              </w:rPr>
              <w:t xml:space="preserve">Barbastella barbastellus</w:t>
            </w: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1193 Bombina variegata </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A207 Columba oenas</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300" w:lineRule="auto"/>
              <w:jc w:val="both"/>
              <w:rPr>
                <w:sz w:val="22"/>
                <w:szCs w:val="22"/>
              </w:rPr>
            </w:pPr>
            <w:r w:rsidDel="00000000" w:rsidR="00000000" w:rsidRPr="00000000">
              <w:rPr>
                <w:sz w:val="22"/>
                <w:szCs w:val="22"/>
                <w:rtl w:val="0"/>
              </w:rPr>
              <w:t xml:space="preserve">Valoarea ecologică a acestui trup de pădure seculară este definită de calitatea sa de micro-refugiu de biodiversitate, reprezentând un vestigiu ecosistemic cu o densitate ridicată de elemente naturale critice pe o suprafață restrânsă. Prezența habitatului de făget acidofil, aflat în stadii terminale de dezvoltare, oferă o complexitate structurală prin abundența lemnului mort și a arborilor cu scorburi, elemente vitale pentru supraviețuirea speciilor specializate.</w:t>
            </w:r>
          </w:p>
          <w:p w:rsidR="00000000" w:rsidDel="00000000" w:rsidP="00000000" w:rsidRDefault="00000000" w:rsidRPr="00000000" w14:paraId="0000007E">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07F">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80">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ecosisteme forestiere cu valoare conservativă, precum și pe prezența speciilor de interes conservativ asociate.</w:t>
            </w:r>
          </w:p>
          <w:p w:rsidR="00000000" w:rsidDel="00000000" w:rsidP="00000000" w:rsidRDefault="00000000" w:rsidRPr="00000000" w14:paraId="00000081">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jc w:val="both"/>
              <w:rPr>
                <w:i w:val="1"/>
                <w:iCs w:val="1"/>
                <w:sz w:val="22"/>
                <w:szCs w:val="22"/>
              </w:rPr>
            </w:pPr>
            <w:r w:rsidDel="00000000" w:rsidR="00000000" w:rsidRPr="00000000">
              <w:rPr>
                <w:i w:val="1"/>
                <w:iCs w:val="1"/>
                <w:sz w:val="22"/>
                <w:szCs w:val="22"/>
                <w:rtl w:val="0"/>
              </w:rPr>
              <w:t xml:space="preserve">Obiective și măsuri în regim de management activ pentru habitatele forestiere altele decât T1</w:t>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i w:val="1"/>
                <w:iCs w:val="1"/>
                <w:sz w:val="22"/>
                <w:szCs w:val="22"/>
                <w:rtl w:val="0"/>
              </w:rPr>
              <w:t xml:space="preserve">Obiectiv general de conservare</w:t>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i w:val="1"/>
                <w:iCs w:val="1"/>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i w:val="1"/>
                <w:iCs w:val="1"/>
                <w:sz w:val="22"/>
                <w:szCs w:val="22"/>
                <w:rtl w:val="0"/>
              </w:rPr>
              <w:t xml:space="preserve">Obiective specifice:</w:t>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i w:val="1"/>
                <w:iCs w:val="1"/>
                <w:sz w:val="22"/>
                <w:szCs w:val="22"/>
                <w:rtl w:val="0"/>
              </w:rPr>
              <w:t xml:space="preserve">1. Conservarea și ameliorarea biodiversității arboretelor (structură, compoziție, microhabitate).</w:t>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i w:val="1"/>
                <w:iCs w:val="1"/>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B">
            <w:pPr>
              <w:spacing w:after="0" w:lineRule="auto"/>
              <w:jc w:val="both"/>
              <w:rPr>
                <w:i w:val="1"/>
                <w:iCs w:val="1"/>
                <w:sz w:val="22"/>
                <w:szCs w:val="22"/>
              </w:rPr>
            </w:pPr>
            <w:r w:rsidDel="00000000" w:rsidR="00000000" w:rsidRPr="00000000">
              <w:rPr>
                <w:i w:val="1"/>
                <w:iCs w:val="1"/>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C">
            <w:pPr>
              <w:spacing w:after="0" w:lineRule="auto"/>
              <w:jc w:val="both"/>
              <w:rPr>
                <w:i w:val="1"/>
                <w:iCs w:val="1"/>
                <w:sz w:val="22"/>
                <w:szCs w:val="22"/>
              </w:rPr>
            </w:pPr>
            <w:r w:rsidDel="00000000" w:rsidR="00000000" w:rsidRPr="00000000">
              <w:rPr>
                <w:i w:val="1"/>
                <w:iCs w:val="1"/>
                <w:sz w:val="22"/>
                <w:szCs w:val="22"/>
                <w:rtl w:val="0"/>
              </w:rPr>
              <w:t xml:space="preserve">4. Menținerea regenerării naturale și a continuității habitatelor forestiere.</w:t>
            </w:r>
          </w:p>
          <w:p w:rsidR="00000000" w:rsidDel="00000000" w:rsidP="00000000" w:rsidRDefault="00000000" w:rsidRPr="00000000" w14:paraId="0000008D">
            <w:pPr>
              <w:spacing w:after="0" w:lineRule="auto"/>
              <w:jc w:val="both"/>
              <w:rPr>
                <w:i w:val="1"/>
                <w:iCs w:val="1"/>
                <w:sz w:val="22"/>
                <w:szCs w:val="22"/>
              </w:rPr>
            </w:pPr>
            <w:r w:rsidDel="00000000" w:rsidR="00000000" w:rsidRPr="00000000">
              <w:rPr>
                <w:i w:val="1"/>
                <w:iCs w:val="1"/>
                <w:sz w:val="22"/>
                <w:szCs w:val="22"/>
                <w:rtl w:val="0"/>
              </w:rPr>
              <w:t xml:space="preserve">5. Reducerea fragmentării habitatelor și limitarea presiunilor antropice.</w:t>
            </w:r>
          </w:p>
          <w:p w:rsidR="00000000" w:rsidDel="00000000" w:rsidP="00000000" w:rsidRDefault="00000000" w:rsidRPr="00000000" w14:paraId="0000008E">
            <w:pPr>
              <w:spacing w:after="0" w:lineRule="auto"/>
              <w:jc w:val="both"/>
              <w:rPr>
                <w:i w:val="1"/>
                <w:iCs w:val="1"/>
                <w:sz w:val="22"/>
                <w:szCs w:val="22"/>
              </w:rPr>
            </w:pPr>
            <w:r w:rsidDel="00000000" w:rsidR="00000000" w:rsidRPr="00000000">
              <w:rPr>
                <w:i w:val="1"/>
                <w:iCs w:val="1"/>
                <w:sz w:val="22"/>
                <w:szCs w:val="22"/>
                <w:rtl w:val="0"/>
              </w:rPr>
              <w:t xml:space="preserve">6. Monitorizarea stării de conservare și aplicarea managementului adaptativ.</w:t>
            </w:r>
          </w:p>
          <w:p w:rsidR="00000000" w:rsidDel="00000000" w:rsidP="00000000" w:rsidRDefault="00000000" w:rsidRPr="00000000" w14:paraId="0000008F">
            <w:pPr>
              <w:spacing w:after="0" w:lineRule="auto"/>
              <w:jc w:val="both"/>
              <w:rPr>
                <w:i w:val="1"/>
                <w:iCs w:val="1"/>
                <w:sz w:val="22"/>
                <w:szCs w:val="22"/>
              </w:rPr>
            </w:pPr>
            <w:r w:rsidDel="00000000" w:rsidR="00000000" w:rsidRPr="00000000">
              <w:rPr>
                <w:i w:val="1"/>
                <w:iCs w:val="1"/>
                <w:sz w:val="22"/>
                <w:szCs w:val="22"/>
                <w:rtl w:val="0"/>
              </w:rPr>
              <w:t xml:space="preserve">Măsuri de conservare:</w:t>
            </w:r>
          </w:p>
          <w:p w:rsidR="00000000" w:rsidDel="00000000" w:rsidP="00000000" w:rsidRDefault="00000000" w:rsidRPr="00000000" w14:paraId="00000090">
            <w:pPr>
              <w:spacing w:after="0" w:lineRule="auto"/>
              <w:jc w:val="both"/>
              <w:rPr>
                <w:i w:val="1"/>
                <w:iCs w:val="1"/>
                <w:sz w:val="22"/>
                <w:szCs w:val="22"/>
              </w:rPr>
            </w:pPr>
            <w:r w:rsidDel="00000000" w:rsidR="00000000" w:rsidRPr="00000000">
              <w:rPr>
                <w:i w:val="1"/>
                <w:iCs w:val="1"/>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1">
            <w:pPr>
              <w:spacing w:after="0" w:lineRule="auto"/>
              <w:jc w:val="both"/>
              <w:rPr>
                <w:i w:val="1"/>
                <w:iCs w:val="1"/>
                <w:sz w:val="22"/>
                <w:szCs w:val="22"/>
              </w:rPr>
            </w:pPr>
            <w:r w:rsidDel="00000000" w:rsidR="00000000" w:rsidRPr="00000000">
              <w:rPr>
                <w:i w:val="1"/>
                <w:iCs w:val="1"/>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2">
            <w:pPr>
              <w:spacing w:after="0" w:lineRule="auto"/>
              <w:jc w:val="both"/>
              <w:rPr>
                <w:i w:val="1"/>
                <w:iCs w:val="1"/>
                <w:sz w:val="22"/>
                <w:szCs w:val="22"/>
              </w:rPr>
            </w:pPr>
            <w:r w:rsidDel="00000000" w:rsidR="00000000" w:rsidRPr="00000000">
              <w:rPr>
                <w:i w:val="1"/>
                <w:iCs w:val="1"/>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3">
            <w:pPr>
              <w:spacing w:after="0" w:lineRule="auto"/>
              <w:jc w:val="both"/>
              <w:rPr>
                <w:i w:val="1"/>
                <w:iCs w:val="1"/>
                <w:sz w:val="22"/>
                <w:szCs w:val="22"/>
              </w:rPr>
            </w:pPr>
            <w:r w:rsidDel="00000000" w:rsidR="00000000" w:rsidRPr="00000000">
              <w:rPr>
                <w:i w:val="1"/>
                <w:iCs w:val="1"/>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4">
            <w:pPr>
              <w:spacing w:after="0" w:lineRule="auto"/>
              <w:jc w:val="both"/>
              <w:rPr>
                <w:i w:val="1"/>
                <w:iCs w:val="1"/>
                <w:sz w:val="22"/>
                <w:szCs w:val="22"/>
              </w:rPr>
            </w:pPr>
            <w:r w:rsidDel="00000000" w:rsidR="00000000" w:rsidRPr="00000000">
              <w:rPr>
                <w:i w:val="1"/>
                <w:iCs w:val="1"/>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5">
            <w:pPr>
              <w:spacing w:after="0" w:lineRule="auto"/>
              <w:jc w:val="both"/>
              <w:rPr>
                <w:i w:val="1"/>
                <w:iCs w:val="1"/>
                <w:sz w:val="22"/>
                <w:szCs w:val="22"/>
              </w:rPr>
            </w:pPr>
            <w:r w:rsidDel="00000000" w:rsidR="00000000" w:rsidRPr="00000000">
              <w:rPr>
                <w:i w:val="1"/>
                <w:iCs w:val="1"/>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6">
            <w:pPr>
              <w:spacing w:after="0" w:lineRule="auto"/>
              <w:jc w:val="both"/>
              <w:rPr>
                <w:i w:val="1"/>
                <w:iCs w:val="1"/>
                <w:sz w:val="22"/>
                <w:szCs w:val="22"/>
              </w:rPr>
            </w:pPr>
            <w:r w:rsidDel="00000000" w:rsidR="00000000" w:rsidRPr="00000000">
              <w:rPr>
                <w:i w:val="1"/>
                <w:iCs w:val="1"/>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7">
            <w:pPr>
              <w:spacing w:after="0" w:lineRule="auto"/>
              <w:jc w:val="both"/>
              <w:rPr>
                <w:i w:val="1"/>
                <w:iCs w:val="1"/>
                <w:sz w:val="22"/>
                <w:szCs w:val="22"/>
              </w:rPr>
            </w:pPr>
            <w:r w:rsidDel="00000000" w:rsidR="00000000" w:rsidRPr="00000000">
              <w:rPr>
                <w:i w:val="1"/>
                <w:iCs w:val="1"/>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8">
            <w:pPr>
              <w:spacing w:after="0" w:lineRule="auto"/>
              <w:jc w:val="both"/>
              <w:rPr>
                <w:i w:val="1"/>
                <w:iCs w:val="1"/>
                <w:sz w:val="22"/>
                <w:szCs w:val="22"/>
              </w:rPr>
            </w:pPr>
            <w:r w:rsidDel="00000000" w:rsidR="00000000" w:rsidRPr="00000000">
              <w:rPr>
                <w:i w:val="1"/>
                <w:iCs w:val="1"/>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9">
            <w:pPr>
              <w:spacing w:after="0" w:lineRule="auto"/>
              <w:jc w:val="both"/>
              <w:rPr>
                <w:i w:val="1"/>
                <w:iCs w:val="1"/>
                <w:sz w:val="22"/>
                <w:szCs w:val="22"/>
              </w:rPr>
            </w:pPr>
            <w:r w:rsidDel="00000000" w:rsidR="00000000" w:rsidRPr="00000000">
              <w:rPr>
                <w:i w:val="1"/>
                <w:iCs w:val="1"/>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A">
            <w:pPr>
              <w:spacing w:after="0" w:lineRule="auto"/>
              <w:jc w:val="both"/>
              <w:rPr>
                <w:i w:val="1"/>
                <w:iCs w:val="1"/>
                <w:sz w:val="22"/>
                <w:szCs w:val="22"/>
              </w:rPr>
            </w:pPr>
            <w:r w:rsidDel="00000000" w:rsidR="00000000" w:rsidRPr="00000000">
              <w:rPr>
                <w:i w:val="1"/>
                <w:iCs w:val="1"/>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B">
            <w:pPr>
              <w:spacing w:after="0" w:lineRule="auto"/>
              <w:jc w:val="both"/>
              <w:rPr>
                <w:i w:val="1"/>
                <w:iCs w:val="1"/>
                <w:sz w:val="22"/>
                <w:szCs w:val="22"/>
              </w:rPr>
            </w:pPr>
            <w:r w:rsidDel="00000000" w:rsidR="00000000" w:rsidRPr="00000000">
              <w:rPr>
                <w:i w:val="1"/>
                <w:iCs w:val="1"/>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C">
            <w:pPr>
              <w:spacing w:after="0" w:lineRule="auto"/>
              <w:jc w:val="both"/>
              <w:rPr>
                <w:i w:val="1"/>
                <w:iCs w:val="1"/>
                <w:sz w:val="22"/>
                <w:szCs w:val="22"/>
              </w:rPr>
            </w:pPr>
            <w:r w:rsidDel="00000000" w:rsidR="00000000" w:rsidRPr="00000000">
              <w:rPr>
                <w:i w:val="1"/>
                <w:iCs w:val="1"/>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9D">
            <w:pPr>
              <w:spacing w:after="0" w:lineRule="auto"/>
              <w:jc w:val="both"/>
              <w:rPr>
                <w:i w:val="1"/>
                <w:iCs w:val="1"/>
                <w:sz w:val="22"/>
                <w:szCs w:val="22"/>
              </w:rPr>
            </w:pPr>
            <w:r w:rsidDel="00000000" w:rsidR="00000000" w:rsidRPr="00000000">
              <w:rPr>
                <w:i w:val="1"/>
                <w:iCs w:val="1"/>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E">
            <w:pPr>
              <w:spacing w:after="0" w:lineRule="auto"/>
              <w:jc w:val="both"/>
              <w:rPr>
                <w:i w:val="1"/>
                <w:iCs w:val="1"/>
                <w:sz w:val="22"/>
                <w:szCs w:val="22"/>
              </w:rPr>
            </w:pPr>
            <w:r w:rsidDel="00000000" w:rsidR="00000000" w:rsidRPr="00000000">
              <w:rPr>
                <w:i w:val="1"/>
                <w:iCs w:val="1"/>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9F">
            <w:pPr>
              <w:spacing w:after="0" w:lineRule="auto"/>
              <w:jc w:val="both"/>
              <w:rPr>
                <w:i w:val="1"/>
                <w:iCs w:val="1"/>
                <w:sz w:val="22"/>
                <w:szCs w:val="22"/>
              </w:rPr>
            </w:pPr>
            <w:r w:rsidDel="00000000" w:rsidR="00000000" w:rsidRPr="00000000">
              <w:rPr>
                <w:i w:val="1"/>
                <w:iCs w:val="1"/>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0">
            <w:pPr>
              <w:spacing w:after="0" w:lineRule="auto"/>
              <w:jc w:val="both"/>
              <w:rPr>
                <w:i w:val="1"/>
                <w:iCs w:val="1"/>
                <w:sz w:val="22"/>
                <w:szCs w:val="22"/>
              </w:rPr>
            </w:pPr>
            <w:r w:rsidDel="00000000" w:rsidR="00000000" w:rsidRPr="00000000">
              <w:rPr>
                <w:i w:val="1"/>
                <w:iCs w:val="1"/>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1">
            <w:pPr>
              <w:spacing w:after="0" w:lineRule="auto"/>
              <w:jc w:val="both"/>
              <w:rPr>
                <w:i w:val="1"/>
                <w:iCs w:val="1"/>
                <w:sz w:val="22"/>
                <w:szCs w:val="22"/>
              </w:rPr>
            </w:pPr>
            <w:r w:rsidDel="00000000" w:rsidR="00000000" w:rsidRPr="00000000">
              <w:rPr>
                <w:i w:val="1"/>
                <w:iCs w:val="1"/>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2">
            <w:pPr>
              <w:spacing w:after="0" w:lineRule="auto"/>
              <w:jc w:val="both"/>
              <w:rPr>
                <w:i w:val="1"/>
                <w:iCs w:val="1"/>
                <w:sz w:val="22"/>
                <w:szCs w:val="22"/>
              </w:rPr>
            </w:pPr>
            <w:r w:rsidDel="00000000" w:rsidR="00000000" w:rsidRPr="00000000">
              <w:rPr>
                <w:i w:val="1"/>
                <w:i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300" w:lineRule="auto"/>
              <w:rPr>
                <w:sz w:val="22"/>
                <w:szCs w:val="22"/>
              </w:rPr>
            </w:pPr>
            <w:r w:rsidDel="00000000" w:rsidR="00000000" w:rsidRPr="00000000">
              <w:rPr>
                <w:sz w:val="22"/>
                <w:szCs w:val="22"/>
                <w:rtl w:val="0"/>
              </w:rPr>
              <w:t xml:space="preserve">Publică de stat și privată</w:t>
            </w:r>
          </w:p>
        </w:tc>
      </w:tr>
    </w:tbl>
    <w:p w:rsidR="00000000" w:rsidDel="00000000" w:rsidP="00000000" w:rsidRDefault="00000000" w:rsidRPr="00000000" w14:paraId="000000A5">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A6">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Domokos E (2013). The ecological characterization of the forestry associations from the</w:t>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 middle stream of the Niraj valley (Romania, Mureş County). Analele Ştiinţifice ale Universităţii „Al. I. Cuza” din Iaşi (serie nouă), Secţiunea II a. Biologie vegetală 59: 99- 106. Domokos E, Cristea V (2013). The Woody Vegetation in the Middle Stream of the Niraj Valley (Romania, Mureş County). J Plant Develop 20: 149-162.</w:t>
      </w:r>
    </w:p>
    <w:p w:rsidR="00000000" w:rsidDel="00000000" w:rsidP="00000000" w:rsidRDefault="00000000" w:rsidRPr="00000000" w14:paraId="000000A8">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A9">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pBdr>
        <w:spacing w:after="240" w:before="240" w:line="256" w:lineRule="auto"/>
        <w:jc w:val="both"/>
        <w:rPr>
          <w:sz w:val="22"/>
          <w:szCs w:val="22"/>
        </w:rPr>
      </w:pPr>
      <w:r w:rsidDel="00000000" w:rsidR="00000000" w:rsidRPr="00000000">
        <w:rPr>
          <w:sz w:val="22"/>
          <w:szCs w:val="22"/>
          <w:rtl w:val="0"/>
        </w:rPr>
        <w:t xml:space="preserve">Consultările publice  au fost realizate la: 18 iunie 2025 – online, jud. Harghita; 1 octombrie 2024 – Târgu Mureș, jud. Mureș. Ulterior, în cadrul procesului de consultare extins la nivel național, au avut loc consultări suplimentare online, în data de 19 ianuarie 2026 cu participarea factorilor interesați relevanți din județul Harghita și în 26 ianuarie 2026, cu participarea factorilor interesați relevanți din județul Mureș. De asemenea, în perioada 26-27 martie 2026 au avut loc consultări la Prefectura Harghita.</w:t>
      </w:r>
    </w:p>
    <w:p w:rsidR="00000000" w:rsidDel="00000000" w:rsidP="00000000" w:rsidRDefault="00000000" w:rsidRPr="00000000" w14:paraId="000000AB">
      <w:pPr>
        <w:spacing w:after="120" w:before="48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 </w:t>
      </w:r>
    </w:p>
    <w:p w:rsidR="00000000" w:rsidDel="00000000" w:rsidP="00000000" w:rsidRDefault="00000000" w:rsidRPr="00000000" w14:paraId="000000AC">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AD">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table" w:styleId="a" w:customStyle="1">
    <w:basedOn w:val="TableNormal2"/>
    <w:tblPr>
      <w:tblStyleRowBandSize w:val="1"/>
      <w:tblStyleColBandSize w:val="1"/>
      <w:tblCellMar>
        <w:left w:w="10.0" w:type="dxa"/>
        <w:right w:w="10.0" w:type="dxa"/>
      </w:tblCellMar>
    </w:tblPr>
  </w:style>
  <w:style w:type="table" w:styleId="a0" w:customStyle="1">
    <w:basedOn w:val="TableNormal2"/>
    <w:tblPr>
      <w:tblStyleRowBandSize w:val="1"/>
      <w:tblStyleColBandSize w:val="1"/>
      <w:tblCellMar>
        <w:top w:w="50.0" w:type="dxa"/>
        <w:left w:w="50.0" w:type="dxa"/>
        <w:bottom w:w="50.0" w:type="dxa"/>
        <w:right w:w="50.0" w:type="dxa"/>
      </w:tblCellMar>
    </w:tblPr>
  </w:style>
  <w:style w:type="table" w:styleId="a1" w:customStyle="1">
    <w:basedOn w:val="TableNormal2"/>
    <w:tblPr>
      <w:tblStyleRowBandSize w:val="1"/>
      <w:tblStyleColBandSize w:val="1"/>
      <w:tblCellMar>
        <w:top w:w="50.0" w:type="dxa"/>
        <w:left w:w="50.0" w:type="dxa"/>
        <w:bottom w:w="50.0" w:type="dxa"/>
        <w:right w:w="50.0" w:type="dxa"/>
      </w:tblCellMar>
    </w:tblPr>
  </w:style>
  <w:style w:type="table" w:styleId="a2" w:customStyle="1">
    <w:basedOn w:val="TableNormal2"/>
    <w:tblPr>
      <w:tblStyleRowBandSize w:val="1"/>
      <w:tblStyleColBandSize w:val="1"/>
      <w:tblCellMar>
        <w:left w:w="10.0" w:type="dxa"/>
        <w:right w:w="10.0" w:type="dxa"/>
      </w:tblCellMar>
    </w:tblPr>
  </w:style>
  <w:style w:type="table" w:styleId="a3" w:customStyle="1">
    <w:basedOn w:val="TableNormal2"/>
    <w:tblPr>
      <w:tblStyleRowBandSize w:val="1"/>
      <w:tblStyleColBandSize w:val="1"/>
      <w:tblCellMar>
        <w:top w:w="50.0" w:type="dxa"/>
        <w:left w:w="50.0" w:type="dxa"/>
        <w:bottom w:w="50.0" w:type="dxa"/>
        <w:right w:w="50.0" w:type="dxa"/>
      </w:tblCellMar>
    </w:tblPr>
  </w:style>
  <w:style w:type="table" w:styleId="a4" w:customStyle="1">
    <w:basedOn w:val="TableNormal2"/>
    <w:tblPr>
      <w:tblStyleRowBandSize w:val="1"/>
      <w:tblStyleColBandSize w:val="1"/>
      <w:tblCellMar>
        <w:left w:w="10.0" w:type="dxa"/>
        <w:right w:w="10.0" w:type="dxa"/>
      </w:tblCellMar>
    </w:tblPr>
  </w:style>
  <w:style w:type="table" w:styleId="a5" w:customStyle="1">
    <w:basedOn w:val="TableNormal2"/>
    <w:tblPr>
      <w:tblStyleRowBandSize w:val="1"/>
      <w:tblStyleColBandSize w:val="1"/>
      <w:tblCellMar>
        <w:left w:w="10.0" w:type="dxa"/>
        <w:right w:w="10.0" w:type="dxa"/>
      </w:tblCellMar>
    </w:tblPr>
  </w:style>
  <w:style w:type="table" w:styleId="a6" w:customStyle="1">
    <w:basedOn w:val="TableNormal2"/>
    <w:tblPr>
      <w:tblStyleRowBandSize w:val="1"/>
      <w:tblStyleColBandSize w:val="1"/>
      <w:tblCellMar>
        <w:left w:w="10.0" w:type="dxa"/>
        <w:right w:w="10.0" w:type="dxa"/>
      </w:tblCellMar>
    </w:tblPr>
  </w:style>
  <w:style w:type="table" w:styleId="a7" w:customStyle="1">
    <w:basedOn w:val="TableNormal2"/>
    <w:tblPr>
      <w:tblStyleRowBandSize w:val="1"/>
      <w:tblStyleColBandSize w:val="1"/>
      <w:tblCellMar>
        <w:left w:w="10.0" w:type="dxa"/>
        <w:right w:w="10.0" w:type="dxa"/>
      </w:tblCellMar>
    </w:tblPr>
  </w:style>
  <w:style w:type="table" w:styleId="a8" w:customStyle="1">
    <w:basedOn w:val="TableNormal2"/>
    <w:tblPr>
      <w:tblStyleRowBandSize w:val="1"/>
      <w:tblStyleColBandSize w:val="1"/>
      <w:tblCellMar>
        <w:left w:w="10.0" w:type="dxa"/>
        <w:right w:w="10.0" w:type="dxa"/>
      </w:tblCellMar>
    </w:tblPr>
  </w:style>
  <w:style w:type="table" w:styleId="a9" w:customStyle="1">
    <w:basedOn w:val="TableNormal2"/>
    <w:tblPr>
      <w:tblStyleRowBandSize w:val="1"/>
      <w:tblStyleColBandSize w:val="1"/>
      <w:tblCellMar>
        <w:left w:w="10.0" w:type="dxa"/>
        <w:right w:w="10.0" w:type="dxa"/>
      </w:tblCellMar>
    </w:tblPr>
  </w:style>
  <w:style w:type="table" w:styleId="aa" w:customStyle="1">
    <w:basedOn w:val="TableNormal2"/>
    <w:tblPr>
      <w:tblStyleRowBandSize w:val="1"/>
      <w:tblStyleColBandSize w:val="1"/>
      <w:tblCellMar>
        <w:left w:w="10.0" w:type="dxa"/>
        <w:right w:w="10.0" w:type="dxa"/>
      </w:tblCellMar>
    </w:tblPr>
  </w:style>
  <w:style w:type="table" w:styleId="ab" w:customStyle="1">
    <w:basedOn w:val="TableNormal2"/>
    <w:tblPr>
      <w:tblStyleRowBandSize w:val="1"/>
      <w:tblStyleColBandSize w:val="1"/>
      <w:tblCellMar>
        <w:left w:w="10.0" w:type="dxa"/>
        <w:right w:w="10.0" w:type="dxa"/>
      </w:tblCellMar>
    </w:tblPr>
  </w:style>
  <w:style w:type="table" w:styleId="ac" w:customStyle="1">
    <w:basedOn w:val="TableNormal2"/>
    <w:tblPr>
      <w:tblStyleRowBandSize w:val="1"/>
      <w:tblStyleColBandSize w:val="1"/>
      <w:tblCellMar>
        <w:left w:w="10.0" w:type="dxa"/>
        <w:right w:w="10.0" w:type="dxa"/>
      </w:tblCellMar>
    </w:tblPr>
  </w:style>
  <w:style w:type="table" w:styleId="ad" w:customStyle="1">
    <w:basedOn w:val="TableNormal2"/>
    <w:tblPr>
      <w:tblStyleRowBandSize w:val="1"/>
      <w:tblStyleColBandSize w:val="1"/>
      <w:tblCellMar>
        <w:left w:w="10.0" w:type="dxa"/>
        <w:right w:w="10.0" w:type="dxa"/>
      </w:tblCellMar>
    </w:tblPr>
  </w:style>
  <w:style w:type="table" w:styleId="ae" w:customStyle="1">
    <w:basedOn w:val="TableNormal2"/>
    <w:tblPr>
      <w:tblStyleRowBandSize w:val="1"/>
      <w:tblStyleColBandSize w:val="1"/>
      <w:tblCellMar>
        <w:left w:w="10.0" w:type="dxa"/>
        <w:right w:w="10.0" w:type="dxa"/>
      </w:tblCellMar>
    </w:tblPr>
  </w:style>
  <w:style w:type="table" w:styleId="af" w:customStyle="1">
    <w:basedOn w:val="TableNormal2"/>
    <w:tblPr>
      <w:tblStyleRowBandSize w:val="1"/>
      <w:tblStyleColBandSize w:val="1"/>
      <w:tblCellMar>
        <w:left w:w="10.0" w:type="dxa"/>
        <w:right w:w="10.0" w:type="dxa"/>
      </w:tblCellMar>
    </w:tblPr>
  </w:style>
  <w:style w:type="paragraph" w:styleId="ListParagraph">
    <w:name w:val="List Paragraph"/>
    <w:basedOn w:val="Normal"/>
    <w:uiPriority w:val="34"/>
    <w:qFormat w:val="1"/>
    <w:rsid w:val="004B44ED"/>
    <w:pPr>
      <w:ind w:left="720"/>
      <w:contextualSpacing w:val="1"/>
    </w:pPr>
  </w:style>
  <w:style w:type="character" w:styleId="Hyperlink">
    <w:name w:val="Hyperlink"/>
    <w:basedOn w:val="DefaultParagraphFont"/>
    <w:uiPriority w:val="99"/>
    <w:unhideWhenUsed w:val="1"/>
    <w:rsid w:val="00BB51FE"/>
    <w:rPr>
      <w:color w:val="0000ff" w:themeColor="hyperlink"/>
      <w:u w:val="single"/>
    </w:rPr>
  </w:style>
  <w:style w:type="paragraph" w:styleId="BorderedParagraph" w:customStyle="1">
    <w:name w:val="BorderedParagraph"/>
    <w:basedOn w:val="Normal"/>
    <w:rsid w:val="00BB51FE"/>
    <w:pPr>
      <w:pBdr>
        <w:top w:color="000000" w:space="0" w:sz="6" w:val="single"/>
        <w:left w:color="000000" w:space="0" w:sz="6" w:val="single"/>
        <w:bottom w:color="000000" w:space="0" w:sz="6" w:val="single"/>
        <w:right w:color="000000" w:space="0" w:sz="6" w:val="single"/>
      </w:pBdr>
      <w:spacing w:line="254" w:lineRule="auto"/>
    </w:pPr>
    <w:rPr>
      <w:lang w:val="en-US"/>
    </w:rPr>
  </w:style>
  <w:style w:type="table" w:styleId="af0" w:customStyle="1">
    <w:basedOn w:val="TableNormal"/>
    <w:tblPr>
      <w:tblStyleRowBandSize w:val="1"/>
      <w:tblStyleColBandSize w:val="1"/>
      <w:tblCellMar>
        <w:left w:w="10.0" w:type="dxa"/>
        <w:right w:w="10.0" w:type="dxa"/>
      </w:tblCellMar>
    </w:tblPr>
  </w:style>
  <w:style w:type="table" w:styleId="af1" w:customStyle="1">
    <w:basedOn w:val="TableNormal"/>
    <w:tblPr>
      <w:tblStyleRowBandSize w:val="1"/>
      <w:tblStyleColBandSize w:val="1"/>
      <w:tblCellMar>
        <w:top w:w="50.0" w:type="dxa"/>
        <w:left w:w="50.0" w:type="dxa"/>
        <w:bottom w:w="50.0" w:type="dxa"/>
        <w:right w:w="50.0" w:type="dxa"/>
      </w:tblCellMar>
    </w:tblPr>
  </w:style>
  <w:style w:type="table" w:styleId="af2" w:customStyle="1">
    <w:basedOn w:val="TableNormal"/>
    <w:tblPr>
      <w:tblStyleRowBandSize w:val="1"/>
      <w:tblStyleColBandSize w:val="1"/>
      <w:tblCellMar>
        <w:top w:w="50.0" w:type="dxa"/>
        <w:left w:w="50.0" w:type="dxa"/>
        <w:bottom w:w="50.0" w:type="dxa"/>
        <w:right w:w="50.0" w:type="dxa"/>
      </w:tblCellMar>
    </w:tblPr>
  </w:style>
  <w:style w:type="table" w:styleId="af3" w:customStyle="1">
    <w:basedOn w:val="TableNormal"/>
    <w:tblPr>
      <w:tblStyleRowBandSize w:val="1"/>
      <w:tblStyleColBandSize w:val="1"/>
      <w:tblCellMar>
        <w:left w:w="10.0" w:type="dxa"/>
        <w:right w:w="10.0" w:type="dxa"/>
      </w:tblCellMar>
    </w:tblPr>
  </w:style>
  <w:style w:type="table" w:styleId="af4" w:customStyle="1">
    <w:basedOn w:val="TableNormal"/>
    <w:tblPr>
      <w:tblStyleRowBandSize w:val="1"/>
      <w:tblStyleColBandSize w:val="1"/>
      <w:tblCellMar>
        <w:top w:w="50.0" w:type="dxa"/>
        <w:left w:w="50.0" w:type="dxa"/>
        <w:bottom w:w="50.0" w:type="dxa"/>
        <w:right w:w="50.0" w:type="dxa"/>
      </w:tblCellMar>
    </w:tblPr>
  </w:style>
  <w:style w:type="table" w:styleId="af5" w:customStyle="1">
    <w:basedOn w:val="TableNormal"/>
    <w:tblPr>
      <w:tblStyleRowBandSize w:val="1"/>
      <w:tblStyleColBandSize w:val="1"/>
      <w:tblCellMar>
        <w:left w:w="10.0" w:type="dxa"/>
        <w:right w:w="10.0" w:type="dxa"/>
      </w:tblCellMar>
    </w:tblPr>
  </w:style>
  <w:style w:type="table" w:styleId="af6" w:customStyle="1">
    <w:basedOn w:val="TableNormal"/>
    <w:tblPr>
      <w:tblStyleRowBandSize w:val="1"/>
      <w:tblStyleColBandSize w:val="1"/>
      <w:tblCellMar>
        <w:left w:w="10.0" w:type="dxa"/>
        <w:right w:w="10.0" w:type="dxa"/>
      </w:tblCellMar>
    </w:tblPr>
  </w:style>
  <w:style w:type="table" w:styleId="af7" w:customStyle="1">
    <w:basedOn w:val="TableNormal"/>
    <w:tblPr>
      <w:tblStyleRowBandSize w:val="1"/>
      <w:tblStyleColBandSize w:val="1"/>
      <w:tblCellMar>
        <w:left w:w="10.0" w:type="dxa"/>
        <w:right w:w="10.0" w:type="dxa"/>
      </w:tblCellMar>
    </w:tblPr>
  </w:style>
  <w:style w:type="table" w:styleId="af8" w:customStyle="1">
    <w:basedOn w:val="TableNormal"/>
    <w:tblPr>
      <w:tblStyleRowBandSize w:val="1"/>
      <w:tblStyleColBandSize w:val="1"/>
      <w:tblCellMar>
        <w:left w:w="10.0" w:type="dxa"/>
        <w:right w:w="10.0" w:type="dxa"/>
      </w:tblCellMar>
    </w:tblPr>
  </w:style>
  <w:style w:type="table" w:styleId="af9" w:customStyle="1">
    <w:basedOn w:val="TableNormal"/>
    <w:tblPr>
      <w:tblStyleRowBandSize w:val="1"/>
      <w:tblStyleColBandSize w:val="1"/>
      <w:tblCellMar>
        <w:left w:w="10.0" w:type="dxa"/>
        <w:right w:w="10.0" w:type="dxa"/>
      </w:tblCellMar>
    </w:tblPr>
  </w:style>
  <w:style w:type="table" w:styleId="afa" w:customStyle="1">
    <w:basedOn w:val="TableNormal"/>
    <w:tblPr>
      <w:tblStyleRowBandSize w:val="1"/>
      <w:tblStyleColBandSize w:val="1"/>
      <w:tblCellMar>
        <w:left w:w="10.0" w:type="dxa"/>
        <w:right w:w="10.0" w:type="dxa"/>
      </w:tblCellMar>
    </w:tblPr>
  </w:style>
  <w:style w:type="table" w:styleId="afb" w:customStyle="1">
    <w:basedOn w:val="TableNormal"/>
    <w:tblPr>
      <w:tblStyleRowBandSize w:val="1"/>
      <w:tblStyleColBandSize w:val="1"/>
      <w:tblCellMar>
        <w:left w:w="10.0" w:type="dxa"/>
        <w:right w:w="10.0" w:type="dxa"/>
      </w:tblCellMar>
    </w:tblPr>
  </w:style>
  <w:style w:type="paragraph" w:styleId="Revision">
    <w:name w:val="Revision"/>
    <w:hidden w:val="1"/>
    <w:uiPriority w:val="99"/>
    <w:semiHidden w:val="1"/>
    <w:rsid w:val="00140849"/>
    <w:pPr>
      <w:spacing w:after="0" w:line="240" w:lineRule="auto"/>
    </w:pPr>
  </w:style>
  <w:style w:type="table" w:styleId="afc" w:customStyle="1">
    <w:basedOn w:val="TableNormal"/>
    <w:tblPr>
      <w:tblStyleRowBandSize w:val="1"/>
      <w:tblStyleColBandSize w:val="1"/>
      <w:tblCellMar>
        <w:left w:w="10.0" w:type="dxa"/>
        <w:right w:w="10.0" w:type="dxa"/>
      </w:tblCellMar>
    </w:tblPr>
  </w:style>
  <w:style w:type="table" w:styleId="afd" w:customStyle="1">
    <w:basedOn w:val="TableNormal"/>
    <w:tblPr>
      <w:tblStyleRowBandSize w:val="1"/>
      <w:tblStyleColBandSize w:val="1"/>
      <w:tblCellMar>
        <w:top w:w="50.0" w:type="dxa"/>
        <w:left w:w="50.0" w:type="dxa"/>
        <w:bottom w:w="50.0" w:type="dxa"/>
        <w:right w:w="50.0" w:type="dxa"/>
      </w:tblCellMar>
    </w:tblPr>
  </w:style>
  <w:style w:type="table" w:styleId="afe" w:customStyle="1">
    <w:basedOn w:val="TableNormal"/>
    <w:tblPr>
      <w:tblStyleRowBandSize w:val="1"/>
      <w:tblStyleColBandSize w:val="1"/>
      <w:tblCellMar>
        <w:top w:w="50.0" w:type="dxa"/>
        <w:left w:w="50.0" w:type="dxa"/>
        <w:bottom w:w="50.0" w:type="dxa"/>
        <w:right w:w="50.0" w:type="dxa"/>
      </w:tblCellMar>
    </w:tblPr>
  </w:style>
  <w:style w:type="table" w:styleId="aff" w:customStyle="1">
    <w:basedOn w:val="TableNormal"/>
    <w:tblPr>
      <w:tblStyleRowBandSize w:val="1"/>
      <w:tblStyleColBandSize w:val="1"/>
      <w:tblCellMar>
        <w:left w:w="10.0" w:type="dxa"/>
        <w:right w:w="10.0" w:type="dxa"/>
      </w:tblCellMar>
    </w:tblPr>
  </w:style>
  <w:style w:type="table" w:styleId="aff0" w:customStyle="1">
    <w:basedOn w:val="TableNormal"/>
    <w:tblPr>
      <w:tblStyleRowBandSize w:val="1"/>
      <w:tblStyleColBandSize w:val="1"/>
      <w:tblCellMar>
        <w:top w:w="50.0" w:type="dxa"/>
        <w:left w:w="50.0" w:type="dxa"/>
        <w:bottom w:w="50.0" w:type="dxa"/>
        <w:right w:w="50.0" w:type="dxa"/>
      </w:tblCellMar>
    </w:tblPr>
  </w:style>
  <w:style w:type="table" w:styleId="aff1" w:customStyle="1">
    <w:basedOn w:val="TableNormal"/>
    <w:tblPr>
      <w:tblStyleRowBandSize w:val="1"/>
      <w:tblStyleColBandSize w:val="1"/>
      <w:tblCellMar>
        <w:left w:w="10.0" w:type="dxa"/>
        <w:right w:w="10.0" w:type="dxa"/>
      </w:tblCellMar>
    </w:tblPr>
  </w:style>
  <w:style w:type="table" w:styleId="aff2" w:customStyle="1">
    <w:basedOn w:val="TableNormal"/>
    <w:tblPr>
      <w:tblStyleRowBandSize w:val="1"/>
      <w:tblStyleColBandSize w:val="1"/>
      <w:tblCellMar>
        <w:left w:w="10.0" w:type="dxa"/>
        <w:right w:w="10.0" w:type="dxa"/>
      </w:tblCellMar>
    </w:tblPr>
  </w:style>
  <w:style w:type="table" w:styleId="aff3" w:customStyle="1">
    <w:basedOn w:val="TableNormal"/>
    <w:tblPr>
      <w:tblStyleRowBandSize w:val="1"/>
      <w:tblStyleColBandSize w:val="1"/>
      <w:tblCellMar>
        <w:left w:w="10.0" w:type="dxa"/>
        <w:right w:w="10.0" w:type="dxa"/>
      </w:tblCellMar>
    </w:tblPr>
  </w:style>
  <w:style w:type="table" w:styleId="aff4" w:customStyle="1">
    <w:basedOn w:val="TableNormal"/>
    <w:tblPr>
      <w:tblStyleRowBandSize w:val="1"/>
      <w:tblStyleColBandSize w:val="1"/>
      <w:tblCellMar>
        <w:left w:w="10.0" w:type="dxa"/>
        <w:right w:w="10.0" w:type="dxa"/>
      </w:tblCellMar>
    </w:tblPr>
  </w:style>
  <w:style w:type="table" w:styleId="aff5" w:customStyle="1">
    <w:basedOn w:val="TableNormal"/>
    <w:tblPr>
      <w:tblStyleRowBandSize w:val="1"/>
      <w:tblStyleColBandSize w:val="1"/>
      <w:tblCellMar>
        <w:left w:w="10.0" w:type="dxa"/>
        <w:right w:w="10.0" w:type="dxa"/>
      </w:tblCellMar>
    </w:tblPr>
  </w:style>
  <w:style w:type="table" w:styleId="aff6" w:customStyle="1">
    <w:basedOn w:val="TableNormal"/>
    <w:tblPr>
      <w:tblStyleRowBandSize w:val="1"/>
      <w:tblStyleColBandSize w:val="1"/>
      <w:tblCellMar>
        <w:left w:w="10.0" w:type="dxa"/>
        <w:right w:w="10.0" w:type="dxa"/>
      </w:tblCellMar>
    </w:tblPr>
  </w:style>
  <w:style w:type="table" w:styleId="aff7" w:customStyle="1">
    <w:basedOn w:val="TableNormal"/>
    <w:tblPr>
      <w:tblStyleRowBandSize w:val="1"/>
      <w:tblStyleColBandSize w:val="1"/>
      <w:tblCellMar>
        <w:left w:w="1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tZRR2umwG02wLLDV+jC3k6UyW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XhvU3NnZVBPclJVaE9KdmFubjI3YUhDb01oOU9TRk1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2026-05-16T10:05:00Z</dcterms:created>
  <dc:creator>Alin David</dc:creator>
</cp:coreProperties>
</file>